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rPr>
          <w:b w:val="1"/>
          <w:color w:val="000000"/>
          <w:sz w:val="36"/>
          <w:szCs w:val="36"/>
        </w:rPr>
      </w:pPr>
      <w:bookmarkStart w:colFirst="0" w:colLast="0" w:name="_gjdgxs" w:id="0"/>
      <w:bookmarkEnd w:id="0"/>
      <w:r w:rsidDel="00000000" w:rsidR="00000000" w:rsidRPr="00000000">
        <w:rPr>
          <w:b w:val="1"/>
          <w:color w:val="000000"/>
          <w:sz w:val="36"/>
          <w:szCs w:val="36"/>
          <w:rtl w:val="0"/>
        </w:rPr>
        <w:t xml:space="preserve">Schedule 10 (Service Levels)</w:t>
      </w:r>
    </w:p>
    <w:p w:rsidR="00000000" w:rsidDel="00000000" w:rsidP="00000000" w:rsidRDefault="00000000" w:rsidRPr="00000000" w14:paraId="00000002">
      <w:pPr>
        <w:keepNext w:val="1"/>
        <w:numPr>
          <w:ilvl w:val="0"/>
          <w:numId w:val="3"/>
        </w:numPr>
        <w:pBdr>
          <w:top w:space="0" w:sz="0" w:val="nil"/>
          <w:left w:space="0" w:sz="0" w:val="nil"/>
          <w:bottom w:space="0" w:sz="0" w:val="nil"/>
          <w:right w:space="0" w:sz="0" w:val="nil"/>
          <w:between w:space="0" w:sz="0" w:val="nil"/>
        </w:pBdr>
        <w:spacing w:after="240" w:before="120" w:line="240" w:lineRule="auto"/>
        <w:ind w:left="360" w:hanging="360"/>
        <w:rPr/>
      </w:pPr>
      <w:bookmarkStart w:colFirst="0" w:colLast="0" w:name="_30j0zll" w:id="1"/>
      <w:bookmarkEnd w:id="1"/>
      <w:r w:rsidDel="00000000" w:rsidR="00000000" w:rsidRPr="00000000">
        <w:rPr>
          <w:rFonts w:ascii="Arial Bold" w:cs="Arial Bold" w:eastAsia="Arial Bold" w:hAnsi="Arial Bold"/>
          <w:b w:val="1"/>
          <w:color w:val="000000"/>
          <w:rtl w:val="0"/>
        </w:rPr>
        <w:t xml:space="preserve">Definitions</w:t>
      </w:r>
    </w:p>
    <w:p w:rsidR="00000000" w:rsidDel="00000000" w:rsidP="00000000" w:rsidRDefault="00000000" w:rsidRPr="00000000" w14:paraId="00000003">
      <w:pPr>
        <w:keepNext w:val="1"/>
        <w:numPr>
          <w:ilvl w:val="1"/>
          <w:numId w:val="3"/>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In this Schedule, the following words shall have the following meanings and they shall supplement Schedule 1 (Definitions):</w:t>
      </w:r>
      <w:r w:rsidDel="00000000" w:rsidR="00000000" w:rsidRPr="00000000">
        <w:rPr>
          <w:rtl w:val="0"/>
        </w:rPr>
      </w:r>
    </w:p>
    <w:tbl>
      <w:tblPr>
        <w:tblStyle w:val="Table1"/>
        <w:tblW w:w="8422.0" w:type="dxa"/>
        <w:jc w:val="left"/>
        <w:tblInd w:w="9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69"/>
        <w:gridCol w:w="5953"/>
        <w:tblGridChange w:id="0">
          <w:tblGrid>
            <w:gridCol w:w="2469"/>
            <w:gridCol w:w="5953"/>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9"/>
              </w:tabs>
              <w:spacing w:after="120" w:before="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Award Form;</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before="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Credits"</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 w:val="left" w:leader="none" w:pos="-179"/>
              </w:tabs>
              <w:spacing w:after="120" w:before="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 Cap"</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 w:val="left" w:leader="none" w:pos="-179"/>
              </w:tabs>
              <w:spacing w:after="120" w:before="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Award Form;</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before="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Failure"</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 w:val="left" w:leader="none" w:pos="-179"/>
              </w:tabs>
              <w:spacing w:after="120" w:before="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before="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Performance Measure"</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 w:val="left" w:leader="none" w:pos="-179"/>
              </w:tabs>
              <w:spacing w:after="120" w:before="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Threshold"</w:t>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 w:val="left" w:leader="none" w:pos="-179"/>
              </w:tabs>
              <w:spacing w:after="120" w:before="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w:t>
            </w:r>
          </w:p>
        </w:tc>
      </w:tr>
    </w:tbl>
    <w:p w:rsidR="00000000" w:rsidDel="00000000" w:rsidP="00000000" w:rsidRDefault="00000000" w:rsidRPr="00000000" w14:paraId="00000010">
      <w:pPr>
        <w:keepNext w:val="1"/>
        <w:numPr>
          <w:ilvl w:val="0"/>
          <w:numId w:val="3"/>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b w:val="1"/>
          <w:color w:val="000000"/>
          <w:rtl w:val="0"/>
        </w:rPr>
        <w:t xml:space="preserve">What happens if you don’t meet the Service Levels</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Supplier shall send Performance Monitoring Reports to the Buyer detailing the level of service which was achieved in accordance with the provisions of Part B (Performance Monitoring) of this Schedule.</w:t>
      </w:r>
      <w:r w:rsidDel="00000000" w:rsidR="00000000" w:rsidRPr="00000000">
        <w:rPr>
          <w:rtl w:val="0"/>
        </w:rPr>
      </w:r>
    </w:p>
    <w:p w:rsidR="00000000" w:rsidDel="00000000" w:rsidP="00000000" w:rsidRDefault="00000000" w:rsidRPr="00000000" w14:paraId="00000014">
      <w:pPr>
        <w:keepNext w:val="1"/>
        <w:numPr>
          <w:ilvl w:val="1"/>
          <w:numId w:val="3"/>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the Supplier has over the previous (twelve) 12 Month period exceeded the Service Credit Cap; and/or</w:t>
      </w:r>
      <w:r w:rsidDel="00000000" w:rsidR="00000000" w:rsidRPr="00000000">
        <w:rPr>
          <w:rtl w:val="0"/>
        </w:rPr>
      </w:r>
    </w:p>
    <w:p w:rsidR="00000000" w:rsidDel="00000000" w:rsidP="00000000" w:rsidRDefault="00000000" w:rsidRPr="00000000" w14:paraId="00000016">
      <w:pPr>
        <w:keepNext w:val="1"/>
        <w:numPr>
          <w:ilvl w:val="2"/>
          <w:numId w:val="3"/>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the Service Level Failure:</w:t>
      </w:r>
      <w:r w:rsidDel="00000000" w:rsidR="00000000" w:rsidRPr="00000000">
        <w:rPr>
          <w:rtl w:val="0"/>
        </w:rPr>
      </w:r>
    </w:p>
    <w:p w:rsidR="00000000" w:rsidDel="00000000" w:rsidP="00000000" w:rsidRDefault="00000000" w:rsidRPr="00000000" w14:paraId="00000017">
      <w:pPr>
        <w:numPr>
          <w:ilvl w:val="3"/>
          <w:numId w:val="3"/>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rtl w:val="0"/>
        </w:rPr>
        <w:t xml:space="preserve">exceeds the relevant Service Level Threshold;</w:t>
      </w:r>
      <w:r w:rsidDel="00000000" w:rsidR="00000000" w:rsidRPr="00000000">
        <w:rPr>
          <w:rtl w:val="0"/>
        </w:rPr>
      </w:r>
    </w:p>
    <w:p w:rsidR="00000000" w:rsidDel="00000000" w:rsidP="00000000" w:rsidRDefault="00000000" w:rsidRPr="00000000" w14:paraId="00000018">
      <w:pPr>
        <w:numPr>
          <w:ilvl w:val="3"/>
          <w:numId w:val="3"/>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rtl w:val="0"/>
        </w:rPr>
        <w:t xml:space="preserve">has arisen due to a Prohibited Act or wilful Default by the Supplier; </w:t>
      </w:r>
    </w:p>
    <w:p w:rsidR="00000000" w:rsidDel="00000000" w:rsidP="00000000" w:rsidRDefault="00000000" w:rsidRPr="00000000" w14:paraId="00000019">
      <w:pPr>
        <w:numPr>
          <w:ilvl w:val="3"/>
          <w:numId w:val="3"/>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rtl w:val="0"/>
        </w:rPr>
        <w:t xml:space="preserve">results in the corruption or loss of any Government Data; and/or</w:t>
      </w:r>
    </w:p>
    <w:p w:rsidR="00000000" w:rsidDel="00000000" w:rsidP="00000000" w:rsidRDefault="00000000" w:rsidRPr="00000000" w14:paraId="0000001A">
      <w:pPr>
        <w:numPr>
          <w:ilvl w:val="3"/>
          <w:numId w:val="3"/>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rtl w:val="0"/>
        </w:rPr>
        <w:t xml:space="preserve">results in the Buyer being required to make a compensation payment to one or more third parties; and/or</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the Buyer is also entitled to or does terminate this Contract pursuant to Clause 14.4 of the Core Terms (When the Buyer can end the contract).</w:t>
      </w:r>
    </w:p>
    <w:p w:rsidR="00000000" w:rsidDel="00000000" w:rsidP="00000000" w:rsidRDefault="00000000" w:rsidRPr="00000000" w14:paraId="0000001C">
      <w:pPr>
        <w:keepNext w:val="1"/>
        <w:numPr>
          <w:ilvl w:val="1"/>
          <w:numId w:val="3"/>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1D">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1E">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1F">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there is no change to the Service Credit Cap.</w:t>
      </w:r>
    </w:p>
    <w:p w:rsidR="00000000" w:rsidDel="00000000" w:rsidP="00000000" w:rsidRDefault="00000000" w:rsidRPr="00000000" w14:paraId="00000020">
      <w:pPr>
        <w:keepNext w:val="1"/>
        <w:numPr>
          <w:ilvl w:val="0"/>
          <w:numId w:val="3"/>
        </w:numPr>
        <w:pBdr>
          <w:top w:space="0" w:sz="0" w:val="nil"/>
          <w:left w:space="0" w:sz="0" w:val="nil"/>
          <w:bottom w:space="0" w:sz="0" w:val="nil"/>
          <w:right w:space="0" w:sz="0" w:val="nil"/>
          <w:between w:space="0" w:sz="0" w:val="nil"/>
        </w:pBdr>
        <w:spacing w:after="240" w:before="120" w:line="240" w:lineRule="auto"/>
        <w:ind w:left="360" w:hanging="360"/>
        <w:rPr/>
      </w:pPr>
      <w:bookmarkStart w:colFirst="0" w:colLast="0" w:name="_1fob9te" w:id="2"/>
      <w:bookmarkEnd w:id="2"/>
      <w:r w:rsidDel="00000000" w:rsidR="00000000" w:rsidRPr="00000000">
        <w:rPr>
          <w:rFonts w:ascii="Arial Bold" w:cs="Arial Bold" w:eastAsia="Arial Bold" w:hAnsi="Arial Bold"/>
          <w:b w:val="1"/>
          <w:color w:val="000000"/>
          <w:rtl w:val="0"/>
        </w:rPr>
        <w:t xml:space="preserve">Critical Service Level Failure</w:t>
      </w:r>
    </w:p>
    <w:p w:rsidR="00000000" w:rsidDel="00000000" w:rsidP="00000000" w:rsidRDefault="00000000" w:rsidRPr="00000000" w14:paraId="00000021">
      <w:pPr>
        <w:keepNext w:val="1"/>
        <w:pBdr>
          <w:top w:space="0" w:sz="0" w:val="nil"/>
          <w:left w:space="0" w:sz="0" w:val="nil"/>
          <w:bottom w:space="0" w:sz="0" w:val="nil"/>
          <w:right w:space="0" w:sz="0" w:val="nil"/>
          <w:between w:space="0" w:sz="0" w:val="nil"/>
        </w:pBdr>
        <w:spacing w:after="120" w:before="120" w:line="240" w:lineRule="auto"/>
        <w:ind w:left="360" w:hanging="547"/>
        <w:rPr>
          <w:color w:val="000000"/>
        </w:rPr>
      </w:pPr>
      <w:r w:rsidDel="00000000" w:rsidR="00000000" w:rsidRPr="00000000">
        <w:rPr>
          <w:color w:val="000000"/>
          <w:rtl w:val="0"/>
        </w:rPr>
        <w:t xml:space="preserve">On the occurrence of a Critical Service Level Failure:</w:t>
      </w:r>
    </w:p>
    <w:p w:rsidR="00000000" w:rsidDel="00000000" w:rsidP="00000000" w:rsidRDefault="00000000" w:rsidRPr="00000000" w14:paraId="00000022">
      <w:pPr>
        <w:numPr>
          <w:ilvl w:val="1"/>
          <w:numId w:val="3"/>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any Service Credits that would otherwise have accrued during the relevant Service Period shall not accrue; and</w:t>
      </w:r>
      <w:r w:rsidDel="00000000" w:rsidR="00000000" w:rsidRPr="00000000">
        <w:rPr>
          <w:rtl w:val="0"/>
        </w:rPr>
      </w:r>
    </w:p>
    <w:p w:rsidR="00000000" w:rsidDel="00000000" w:rsidP="00000000" w:rsidRDefault="00000000" w:rsidRPr="00000000" w14:paraId="00000023">
      <w:pPr>
        <w:numPr>
          <w:ilvl w:val="1"/>
          <w:numId w:val="3"/>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b w:val="1"/>
          <w:color w:val="000000"/>
          <w:rtl w:val="0"/>
        </w:rPr>
        <w:t xml:space="preserve">Compensation for Critical Service Level Failure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240" w:lineRule="auto"/>
        <w:ind w:left="360" w:hanging="547"/>
        <w:rPr>
          <w:color w:val="000000"/>
        </w:rPr>
      </w:pPr>
      <w:r w:rsidDel="00000000" w:rsidR="00000000" w:rsidRPr="00000000">
        <w:rPr>
          <w:color w:val="000000"/>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A: Service Levels and Service Credits </w:t>
      </w:r>
    </w:p>
    <w:p w:rsidR="00000000" w:rsidDel="00000000" w:rsidP="00000000" w:rsidRDefault="00000000" w:rsidRPr="00000000" w14:paraId="00000027">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Bold" w:cs="Arial Bold" w:eastAsia="Arial Bold" w:hAnsi="Arial Bold"/>
          <w:b w:val="1"/>
          <w:color w:val="000000"/>
          <w:rtl w:val="0"/>
        </w:rPr>
        <w:t xml:space="preserve">Service Levels</w:t>
      </w:r>
    </w:p>
    <w:p w:rsidR="00000000" w:rsidDel="00000000" w:rsidP="00000000" w:rsidRDefault="00000000" w:rsidRPr="00000000" w14:paraId="00000028">
      <w:pPr>
        <w:keepNext w:val="1"/>
        <w:spacing w:after="120" w:before="120" w:line="240" w:lineRule="auto"/>
        <w:ind w:left="360" w:firstLine="0"/>
        <w:rPr/>
      </w:pPr>
      <w:r w:rsidDel="00000000" w:rsidR="00000000" w:rsidRPr="00000000">
        <w:rPr>
          <w:rtl w:val="0"/>
        </w:rPr>
        <w:t xml:space="preserve">If the level of performance of the Supplier:</w:t>
      </w:r>
    </w:p>
    <w:p w:rsidR="00000000" w:rsidDel="00000000" w:rsidP="00000000" w:rsidRDefault="00000000" w:rsidRPr="00000000" w14:paraId="00000029">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is likely to or fails to meet any Service Level Performance Measure; or</w:t>
      </w:r>
      <w:r w:rsidDel="00000000" w:rsidR="00000000" w:rsidRPr="00000000">
        <w:rPr>
          <w:rtl w:val="0"/>
        </w:rPr>
      </w:r>
    </w:p>
    <w:p w:rsidR="00000000" w:rsidDel="00000000" w:rsidP="00000000" w:rsidRDefault="00000000" w:rsidRPr="00000000" w14:paraId="0000002A">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is likely to cause or causes a Critical Service Failure to occur, </w:t>
      </w:r>
      <w:r w:rsidDel="00000000" w:rsidR="00000000" w:rsidRPr="00000000">
        <w:rPr>
          <w:rtl w:val="0"/>
        </w:rPr>
      </w:r>
    </w:p>
    <w:p w:rsidR="00000000" w:rsidDel="00000000" w:rsidP="00000000" w:rsidRDefault="00000000" w:rsidRPr="00000000" w14:paraId="0000002B">
      <w:pPr>
        <w:keepNext w:val="1"/>
        <w:spacing w:after="120" w:before="120" w:line="240" w:lineRule="auto"/>
        <w:ind w:left="360" w:firstLine="0"/>
        <w:rPr/>
      </w:pPr>
      <w:r w:rsidDel="00000000" w:rsidR="00000000" w:rsidRPr="00000000">
        <w:rPr>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instruct the Supplier to comply with the Rectification Plan Process; </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if a Service Level Failure has occurred, deduct the applicable Service Level Credits payable by the Supplier to the Buyer; and/or</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0">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Bold" w:cs="Arial Bold" w:eastAsia="Arial Bold" w:hAnsi="Arial Bold"/>
          <w:b w:val="1"/>
          <w:color w:val="000000"/>
          <w:rtl w:val="0"/>
        </w:rPr>
        <w:t xml:space="preserve">Service Credits</w:t>
      </w:r>
    </w:p>
    <w:p w:rsidR="00000000" w:rsidDel="00000000" w:rsidP="00000000" w:rsidRDefault="00000000" w:rsidRPr="00000000" w14:paraId="00000031">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Buyer shall use the Performance Monitoring Reports supplied by the Supplier to verify the calculation and accuracy of the Service Credits, if any, applicable to each Service Period.</w:t>
      </w:r>
      <w:r w:rsidDel="00000000" w:rsidR="00000000" w:rsidRPr="00000000">
        <w:rPr>
          <w:rtl w:val="0"/>
        </w:rPr>
      </w:r>
    </w:p>
    <w:p w:rsidR="00000000" w:rsidDel="00000000" w:rsidP="00000000" w:rsidRDefault="00000000" w:rsidRPr="00000000" w14:paraId="00000032">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r w:rsidDel="00000000" w:rsidR="00000000" w:rsidRPr="00000000">
        <w:rPr>
          <w:rtl w:val="0"/>
        </w:rPr>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rPr>
          <w:rFonts w:ascii="Arial Bold" w:cs="Arial Bold" w:eastAsia="Arial Bold" w:hAnsi="Arial Bold"/>
          <w:b w:val="1"/>
          <w:color w:val="000000"/>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4">
      <w:pPr>
        <w:spacing w:after="0" w:lineRule="auto"/>
        <w:rPr/>
      </w:pPr>
      <w:r w:rsidDel="00000000" w:rsidR="00000000" w:rsidRPr="00000000">
        <w:rPr>
          <w:rtl w:val="0"/>
        </w:rPr>
      </w:r>
    </w:p>
    <w:tbl>
      <w:tblPr>
        <w:tblStyle w:val="Table2"/>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5"/>
        <w:gridCol w:w="1815"/>
        <w:gridCol w:w="4725"/>
        <w:gridCol w:w="1455"/>
        <w:tblGridChange w:id="0">
          <w:tblGrid>
            <w:gridCol w:w="885"/>
            <w:gridCol w:w="1815"/>
            <w:gridCol w:w="4725"/>
            <w:gridCol w:w="1455"/>
          </w:tblGrid>
        </w:tblGridChange>
      </w:tblGrid>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5">
            <w:pPr>
              <w:spacing w:line="276" w:lineRule="auto"/>
              <w:jc w:val="center"/>
              <w:rPr>
                <w:b w:val="1"/>
              </w:rPr>
            </w:pPr>
            <w:r w:rsidDel="00000000" w:rsidR="00000000" w:rsidRPr="00000000">
              <w:rPr>
                <w:b w:val="1"/>
                <w:rtl w:val="0"/>
              </w:rPr>
              <w:t xml:space="preserve">KPI</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6">
            <w:pPr>
              <w:spacing w:line="276" w:lineRule="auto"/>
              <w:jc w:val="center"/>
              <w:rPr>
                <w:b w:val="1"/>
              </w:rPr>
            </w:pPr>
            <w:r w:rsidDel="00000000" w:rsidR="00000000" w:rsidRPr="00000000">
              <w:rPr>
                <w:b w:val="1"/>
                <w:rtl w:val="0"/>
              </w:rPr>
              <w:t xml:space="preserve">Service Credits</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7">
            <w:pPr>
              <w:spacing w:line="276" w:lineRule="auto"/>
              <w:jc w:val="center"/>
              <w:rPr>
                <w:b w:val="1"/>
              </w:rPr>
            </w:pPr>
            <w:r w:rsidDel="00000000" w:rsidR="00000000" w:rsidRPr="00000000">
              <w:rPr>
                <w:b w:val="1"/>
                <w:rtl w:val="0"/>
              </w:rPr>
              <w:t xml:space="preserve">KPI Description</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8">
            <w:pPr>
              <w:spacing w:line="276" w:lineRule="auto"/>
              <w:jc w:val="center"/>
              <w:rPr>
                <w:b w:val="1"/>
              </w:rPr>
            </w:pPr>
            <w:r w:rsidDel="00000000" w:rsidR="00000000" w:rsidRPr="00000000">
              <w:rPr>
                <w:b w:val="1"/>
                <w:rtl w:val="0"/>
              </w:rPr>
              <w:t xml:space="preserve">Target</w:t>
            </w:r>
          </w:p>
        </w:tc>
      </w:tr>
      <w:tr>
        <w:trPr>
          <w:cantSplit w:val="0"/>
          <w:trHeight w:val="352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9">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1a</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A">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&lt;96%= 0.7% monthly contract invoice value</w:t>
            </w:r>
          </w:p>
          <w:p w:rsidR="00000000" w:rsidDel="00000000" w:rsidP="00000000" w:rsidRDefault="00000000" w:rsidRPr="00000000" w14:paraId="0000003B">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C">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3E">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confirm receipt of an urgent support referral with confirmation of the offer of an appointment date and time within one day working day</w:t>
            </w:r>
          </w:p>
          <w:p w:rsidR="00000000" w:rsidDel="00000000" w:rsidP="00000000" w:rsidRDefault="00000000" w:rsidRPr="00000000" w14:paraId="0000003F">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0">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96%</w:t>
            </w:r>
          </w:p>
        </w:tc>
      </w:tr>
      <w:tr>
        <w:trPr>
          <w:cantSplit w:val="0"/>
          <w:trHeight w:val="2940"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1">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1b</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2">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&lt;100% = 0.5% monthly contract invoice</w:t>
            </w:r>
          </w:p>
          <w:p w:rsidR="00000000" w:rsidDel="00000000" w:rsidP="00000000" w:rsidRDefault="00000000" w:rsidRPr="00000000" w14:paraId="00000043">
            <w:pPr>
              <w:spacing w:line="276"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4">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confirm receipt of a non-urgent support referral with confirmation of the offer of an appointment date and time within 3 working days.</w:t>
            </w:r>
          </w:p>
          <w:p w:rsidR="00000000" w:rsidDel="00000000" w:rsidP="00000000" w:rsidRDefault="00000000" w:rsidRPr="00000000" w14:paraId="00000045">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6">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r>
      <w:tr>
        <w:trPr>
          <w:cantSplit w:val="0"/>
          <w:trHeight w:val="169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7">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8">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&lt;100%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9">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raise any safeguarding concerns with SaS within a maximum of 24 hours (on all days excluding weekends where the next working day is appropriate).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A">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r>
      <w:tr>
        <w:trPr>
          <w:cantSplit w:val="0"/>
          <w:trHeight w:val="85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B">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C">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&lt;99% = 1 %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D">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 requests labelled “URGENT” must be acknowledged by email within 24 hours of receipt.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E">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w:t>
            </w:r>
          </w:p>
        </w:tc>
      </w:tr>
      <w:tr>
        <w:trPr>
          <w:cantSplit w:val="0"/>
          <w:trHeight w:val="217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F">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0">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&lt;98%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1">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acknowledge</w:t>
            </w:r>
          </w:p>
          <w:p w:rsidR="00000000" w:rsidDel="00000000" w:rsidP="00000000" w:rsidRDefault="00000000" w:rsidRPr="00000000" w14:paraId="00000052">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receipt of all complaints received to them directly, in writing by the end of the next working day. </w:t>
            </w:r>
          </w:p>
          <w:p w:rsidR="00000000" w:rsidDel="00000000" w:rsidP="00000000" w:rsidRDefault="00000000" w:rsidRPr="00000000" w14:paraId="00000053">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4">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98%</w:t>
            </w:r>
          </w:p>
        </w:tc>
      </w:tr>
      <w:tr>
        <w:trPr>
          <w:cantSplit w:val="0"/>
          <w:trHeight w:val="217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5">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5a</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6">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&lt;98%  = 0.5% monthly contract invoice value</w:t>
            </w:r>
          </w:p>
          <w:p w:rsidR="00000000" w:rsidDel="00000000" w:rsidP="00000000" w:rsidRDefault="00000000" w:rsidRPr="00000000" w14:paraId="0000005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line="276"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9">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the Buyer with a report of all complaints and actions by the end of the third working day following receipt of the complaint.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A">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98%</w:t>
            </w:r>
          </w:p>
        </w:tc>
      </w:tr>
      <w:tr>
        <w:trPr>
          <w:cantSplit w:val="0"/>
          <w:trHeight w:val="217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B">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5b</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C">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&lt;100%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D">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the Buyer with a report of all complaints and actions by the end of the fourth working day of receipt.</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E">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r>
      <w:tr>
        <w:trPr>
          <w:cantSplit w:val="0"/>
          <w:trHeight w:val="217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F">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0">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1">
            <w:pPr>
              <w:widowControl w:val="0"/>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Social Value – Equal Opportunity: </w:t>
            </w:r>
          </w:p>
          <w:p w:rsidR="00000000" w:rsidDel="00000000" w:rsidP="00000000" w:rsidRDefault="00000000" w:rsidRPr="00000000" w14:paraId="00000062">
            <w:pPr>
              <w:widowControl w:val="0"/>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3">
            <w:pPr>
              <w:widowControl w:val="0"/>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increase representation of under-represented groups in the workforce by at least 3%. </w:t>
            </w:r>
          </w:p>
          <w:p w:rsidR="00000000" w:rsidDel="00000000" w:rsidP="00000000" w:rsidRDefault="00000000" w:rsidRPr="00000000" w14:paraId="00000064">
            <w:pPr>
              <w:widowControl w:val="0"/>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5">
            <w:pPr>
              <w:widowControl w:val="0"/>
              <w:spacing w:line="276" w:lineRule="auto"/>
              <w:rPr>
                <w:rFonts w:ascii="Arial" w:cs="Arial" w:eastAsia="Arial" w:hAnsi="Arial"/>
                <w:sz w:val="22"/>
                <w:szCs w:val="22"/>
                <w:highlight w:val="white"/>
              </w:rPr>
            </w:pPr>
            <w:r w:rsidDel="00000000" w:rsidR="00000000" w:rsidRPr="00000000">
              <w:rPr>
                <w:rFonts w:ascii="Arial" w:cs="Arial" w:eastAsia="Arial" w:hAnsi="Arial"/>
                <w:sz w:val="22"/>
                <w:szCs w:val="22"/>
                <w:rtl w:val="0"/>
              </w:rPr>
              <w:t xml:space="preserve">This KPI is in relation to the supplier's overall contract workforce and will be measured/reported annually on the anniversary of the contract.</w:t>
            </w:r>
            <w:r w:rsidDel="00000000" w:rsidR="00000000" w:rsidRPr="00000000">
              <w:rPr>
                <w:rtl w:val="0"/>
              </w:rPr>
            </w:r>
          </w:p>
          <w:p w:rsidR="00000000" w:rsidDel="00000000" w:rsidP="00000000" w:rsidRDefault="00000000" w:rsidRPr="00000000" w14:paraId="00000066">
            <w:pPr>
              <w:widowControl w:val="0"/>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67">
            <w:pPr>
              <w:widowControl w:val="0"/>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68">
            <w:pPr>
              <w:widowControl w:val="0"/>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69">
            <w:pPr>
              <w:widowControl w:val="0"/>
              <w:spacing w:line="276" w:lineRule="auto"/>
              <w:rPr>
                <w:rFonts w:ascii="Arial" w:cs="Arial" w:eastAsia="Arial" w:hAnsi="Arial"/>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A">
            <w:pPr>
              <w:spacing w:line="276" w:lineRule="auto"/>
              <w:jc w:val="center"/>
              <w:rPr>
                <w:rFonts w:ascii="Arial" w:cs="Arial" w:eastAsia="Arial" w:hAnsi="Arial"/>
              </w:rPr>
            </w:pPr>
            <w:r w:rsidDel="00000000" w:rsidR="00000000" w:rsidRPr="00000000">
              <w:rPr>
                <w:rFonts w:ascii="Arial" w:cs="Arial" w:eastAsia="Arial" w:hAnsi="Arial"/>
                <w:color w:val="222222"/>
                <w:sz w:val="18"/>
                <w:szCs w:val="18"/>
                <w:highlight w:val="white"/>
                <w:rtl w:val="0"/>
              </w:rPr>
              <w:t xml:space="preserve">3%</w:t>
            </w:r>
            <w:r w:rsidDel="00000000" w:rsidR="00000000" w:rsidRPr="00000000">
              <w:rPr>
                <w:rtl w:val="0"/>
              </w:rPr>
            </w:r>
          </w:p>
        </w:tc>
      </w:tr>
    </w:tbl>
    <w:p w:rsidR="00000000" w:rsidDel="00000000" w:rsidP="00000000" w:rsidRDefault="00000000" w:rsidRPr="00000000" w14:paraId="0000006B">
      <w:pPr>
        <w:spacing w:after="0" w:lineRule="auto"/>
        <w:rPr>
          <w:b w:val="1"/>
          <w:i w:val="1"/>
          <w:highlight w:val="yellow"/>
        </w:rPr>
      </w:pPr>
      <w:r w:rsidDel="00000000" w:rsidR="00000000" w:rsidRPr="00000000">
        <w:rPr>
          <w:rtl w:val="0"/>
        </w:rPr>
      </w:r>
    </w:p>
    <w:p w:rsidR="00000000" w:rsidDel="00000000" w:rsidP="00000000" w:rsidRDefault="00000000" w:rsidRPr="00000000" w14:paraId="0000006C">
      <w:pPr>
        <w:spacing w:after="0" w:lineRule="auto"/>
        <w:rPr>
          <w:highlight w:val="green"/>
        </w:rPr>
      </w:pPr>
      <w:r w:rsidDel="00000000" w:rsidR="00000000" w:rsidRPr="00000000">
        <w:rPr>
          <w:rtl w:val="0"/>
        </w:rPr>
      </w:r>
    </w:p>
    <w:p w:rsidR="00000000" w:rsidDel="00000000" w:rsidP="00000000" w:rsidRDefault="00000000" w:rsidRPr="00000000" w14:paraId="0000006D">
      <w:pPr>
        <w:keepNext w:val="1"/>
        <w:pBdr>
          <w:top w:space="0" w:sz="0" w:val="nil"/>
          <w:left w:space="0" w:sz="0" w:val="nil"/>
          <w:bottom w:space="0" w:sz="0" w:val="nil"/>
          <w:right w:space="0" w:sz="0" w:val="nil"/>
          <w:between w:space="0" w:sz="0" w:val="nil"/>
        </w:pBdr>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Performance Monitoring </w:t>
      </w:r>
    </w:p>
    <w:p w:rsidR="00000000" w:rsidDel="00000000" w:rsidP="00000000" w:rsidRDefault="00000000" w:rsidRPr="00000000" w14:paraId="0000006E">
      <w:pPr>
        <w:keepNext w:val="1"/>
        <w:numPr>
          <w:ilvl w:val="0"/>
          <w:numId w:val="2"/>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Bold" w:cs="Arial Bold" w:eastAsia="Arial Bold" w:hAnsi="Arial Bold"/>
          <w:b w:val="1"/>
          <w:color w:val="000000"/>
          <w:rtl w:val="0"/>
        </w:rPr>
        <w:t xml:space="preserve">Performance Monitoring and Performance Review</w:t>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r w:rsidDel="00000000" w:rsidR="00000000" w:rsidRPr="00000000">
        <w:rPr>
          <w:rtl w:val="0"/>
        </w:rPr>
      </w:r>
    </w:p>
    <w:p w:rsidR="00000000" w:rsidDel="00000000" w:rsidP="00000000" w:rsidRDefault="00000000" w:rsidRPr="00000000" w14:paraId="00000070">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Supplier shall provide the Buyer with performance monitoring reports ("</w:t>
      </w:r>
      <w:r w:rsidDel="00000000" w:rsidR="00000000" w:rsidRPr="00000000">
        <w:rPr>
          <w:b w:val="1"/>
          <w:color w:val="000000"/>
          <w:rtl w:val="0"/>
        </w:rPr>
        <w:t xml:space="preserve">Performance Monitoring Reports</w:t>
      </w:r>
      <w:r w:rsidDel="00000000" w:rsidR="00000000" w:rsidRPr="00000000">
        <w:rPr>
          <w:color w:val="000000"/>
          <w:rtl w:val="0"/>
        </w:rPr>
        <w:t xml:space="preserve">") in accordance with the process and timescales agreed pursuant to Paragraph 1.1 of Part B of this Schedule which shall contain, as a minimum, the following information in respect of the relevant Service Period just ended:</w:t>
      </w:r>
      <w:r w:rsidDel="00000000" w:rsidR="00000000" w:rsidRPr="00000000">
        <w:rPr>
          <w:rtl w:val="0"/>
        </w:rPr>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for each Service Level, the actual performance achieved over the Service Level for the relevant Service Period;</w:t>
      </w:r>
      <w:r w:rsidDel="00000000" w:rsidR="00000000" w:rsidRPr="00000000">
        <w:rPr>
          <w:rtl w:val="0"/>
        </w:rPr>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a summary of all failures to achieve Service Levels that occurred during that Service Period;</w:t>
      </w:r>
      <w:r w:rsidDel="00000000" w:rsidR="00000000" w:rsidRPr="00000000">
        <w:rPr>
          <w:rtl w:val="0"/>
        </w:rPr>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details of any Critical Service Level Failures;</w:t>
      </w:r>
      <w:r w:rsidDel="00000000" w:rsidR="00000000" w:rsidRPr="00000000">
        <w:rPr>
          <w:rtl w:val="0"/>
        </w:rPr>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for any repeat failures, actions taken to resolve the underlying cause and prevent recurrence;</w:t>
      </w:r>
      <w:r w:rsidDel="00000000" w:rsidR="00000000" w:rsidRPr="00000000">
        <w:rPr>
          <w:rtl w:val="0"/>
        </w:rPr>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the Service Credits to be applied in respect of the relevant period indicating the failures and Service Levels to which the Service Credits relate; and</w:t>
      </w:r>
      <w:r w:rsidDel="00000000" w:rsidR="00000000" w:rsidRPr="00000000">
        <w:rPr>
          <w:rtl w:val="0"/>
        </w:rPr>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such other details as the Buyer may reasonably require from time to time.</w:t>
      </w:r>
      <w:r w:rsidDel="00000000" w:rsidR="00000000" w:rsidRPr="00000000">
        <w:rPr>
          <w:rtl w:val="0"/>
        </w:rPr>
      </w:r>
    </w:p>
    <w:p w:rsidR="00000000" w:rsidDel="00000000" w:rsidP="00000000" w:rsidRDefault="00000000" w:rsidRPr="00000000" w14:paraId="00000077">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Parties shall attend meetings to discuss Performance Monitoring Reports ("</w:t>
      </w:r>
      <w:r w:rsidDel="00000000" w:rsidR="00000000" w:rsidRPr="00000000">
        <w:rPr>
          <w:b w:val="1"/>
          <w:color w:val="000000"/>
          <w:rtl w:val="0"/>
        </w:rPr>
        <w:t xml:space="preserve">Performance Review Meetings</w:t>
      </w:r>
      <w:r w:rsidDel="00000000" w:rsidR="00000000" w:rsidRPr="00000000">
        <w:rPr>
          <w:color w:val="000000"/>
          <w:rtl w:val="0"/>
        </w:rPr>
        <w:t xml:space="preserve">") on a Monthly basis. The Performance Review Meetings will be the forum for the review by the Supplier and the Buyer of the Performance Monitoring Reports.  The Performance Review Meetings shall:</w:t>
      </w:r>
      <w:r w:rsidDel="00000000" w:rsidR="00000000" w:rsidRPr="00000000">
        <w:rPr>
          <w:rtl w:val="0"/>
        </w:rPr>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take place within one (1) week of the Performance Monitoring Reports being issued by the Supplier at such location and time (within normal business hours) as the Buyer shall reasonably require;</w:t>
      </w:r>
      <w:r w:rsidDel="00000000" w:rsidR="00000000" w:rsidRPr="00000000">
        <w:rPr>
          <w:rtl w:val="0"/>
        </w:rPr>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be attended by the Supplier's Representative and the Buyer’s Representative; and</w:t>
      </w:r>
      <w:r w:rsidDel="00000000" w:rsidR="00000000" w:rsidRPr="00000000">
        <w:rPr>
          <w:rtl w:val="0"/>
        </w:rPr>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be fully minuted by the Supplier and the minutes will be circulated by the Supplier to all attendees at the relevant meeting and also to the Buyer’s Representative and any other recipients agreed at the relevant meeting.  </w:t>
      </w:r>
      <w:r w:rsidDel="00000000" w:rsidR="00000000" w:rsidRPr="00000000">
        <w:rPr>
          <w:rtl w:val="0"/>
        </w:rPr>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minutes of the preceding Month's Performance Review Meeting will be agreed and signed by both the Supplier's Representative and the Buyer’s Representative at each meeting.</w:t>
      </w:r>
      <w:r w:rsidDel="00000000" w:rsidR="00000000" w:rsidRPr="00000000">
        <w:rPr>
          <w:rtl w:val="0"/>
        </w:rPr>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r w:rsidDel="00000000" w:rsidR="00000000" w:rsidRPr="00000000">
        <w:rPr>
          <w:rtl w:val="0"/>
        </w:rPr>
      </w:r>
    </w:p>
    <w:p w:rsidR="00000000" w:rsidDel="00000000" w:rsidP="00000000" w:rsidRDefault="00000000" w:rsidRPr="00000000" w14:paraId="0000007D">
      <w:pPr>
        <w:keepNext w:val="1"/>
        <w:numPr>
          <w:ilvl w:val="0"/>
          <w:numId w:val="2"/>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b w:val="1"/>
          <w:color w:val="000000"/>
          <w:rtl w:val="0"/>
        </w:rPr>
        <w:t xml:space="preserve">Satisfaction Surveys</w:t>
      </w:r>
    </w:p>
    <w:p w:rsidR="00000000" w:rsidDel="00000000" w:rsidP="00000000" w:rsidRDefault="00000000" w:rsidRPr="00000000" w14:paraId="0000007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Del="00000000" w:rsidR="00000000" w:rsidRPr="00000000">
        <w:rPr>
          <w:rtl w:val="0"/>
        </w:rPr>
      </w:r>
    </w:p>
    <w:p w:rsidR="00000000" w:rsidDel="00000000" w:rsidP="00000000" w:rsidRDefault="00000000" w:rsidRPr="00000000" w14:paraId="0000007F">
      <w:pPr>
        <w:spacing w:after="0" w:lineRule="auto"/>
        <w:rPr/>
      </w:pPr>
      <w:r w:rsidDel="00000000" w:rsidR="00000000" w:rsidRPr="00000000">
        <w:rPr>
          <w:rtl w:val="0"/>
        </w:rPr>
      </w:r>
    </w:p>
    <w:p w:rsidR="00000000" w:rsidDel="00000000" w:rsidP="00000000" w:rsidRDefault="00000000" w:rsidRPr="00000000" w14:paraId="00000080">
      <w:pPr>
        <w:spacing w:after="0" w:lineRule="auto"/>
        <w:rPr/>
      </w:pPr>
      <w:r w:rsidDel="00000000" w:rsidR="00000000" w:rsidRPr="00000000">
        <w:rPr>
          <w:rtl w:val="0"/>
        </w:rPr>
      </w:r>
    </w:p>
    <w:p w:rsidR="00000000" w:rsidDel="00000000" w:rsidP="00000000" w:rsidRDefault="00000000" w:rsidRPr="00000000" w14:paraId="00000081">
      <w:pPr>
        <w:spacing w:after="0" w:lineRule="auto"/>
        <w:rPr/>
      </w:pPr>
      <w:r w:rsidDel="00000000" w:rsidR="00000000" w:rsidRPr="00000000">
        <w:rPr>
          <w:rtl w:val="0"/>
        </w:rPr>
      </w:r>
    </w:p>
    <w:p w:rsidR="00000000" w:rsidDel="00000000" w:rsidP="00000000" w:rsidRDefault="00000000" w:rsidRPr="00000000" w14:paraId="00000082">
      <w:pPr>
        <w:spacing w:after="0" w:lineRule="auto"/>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Mid-tier contract – Version 1.1</w:t>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ab/>
      <w:t xml:space="preserve">                                           </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sz w:val="20"/>
        <w:szCs w:val="20"/>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[Subject to Contract]</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b w:val="1"/>
        <w:color w:val="000000"/>
        <w:sz w:val="20"/>
        <w:szCs w:val="20"/>
        <w:rtl w:val="0"/>
      </w:rPr>
      <w:t xml:space="preserve">Schedule 10 (Service Levels)</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